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>
        <w:tblPrEx/>
        <w:trPr/>
        <w:tc>
          <w:tcPr>
            <w:tcW w:w="634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</w:p>
        </w:tc>
        <w:tc>
          <w:tcPr>
            <w:tcW w:w="3560" w:type="dxa"/>
            <w:textDirection w:val="lrTb"/>
            <w:noWrap w:val="false"/>
          </w:tcPr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УТВЕРЖДАЮ: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Заместитель директора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по техническим вопросам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–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главный инженер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____________ А.И Таранков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«___»___________ 20__ г.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</w:tc>
      </w:tr>
    </w:tbl>
    <w:p>
      <w:pPr>
        <w:spacing w:after="0" w:line="240" w:lineRule="auto"/>
        <w:shd w:val="clear" w:color="auto" w:fill="ffffff"/>
        <w:tabs>
          <w:tab w:val="left" w:pos="680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shd w:val="clear" w:color="auto" w:fill="ffffff"/>
        <w:tabs>
          <w:tab w:val="left" w:pos="680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eastAsia="Times New Roman CYR" w:cs="Times New Roman CYR"/>
          <w:b/>
          <w:bCs/>
          <w:sz w:val="28"/>
          <w:szCs w:val="28"/>
          <w:lang w:eastAsia="ru-RU"/>
        </w:rPr>
        <w:t xml:space="preserve">ТЕХНИЧЕСКОЕ ЗАДАНИЕ </w:t>
      </w:r>
      <w:r>
        <w:rPr>
          <w:rFonts w:ascii="Times New Roman CYR" w:hAnsi="Times New Roman CYR" w:cs="Times New Roman CYR"/>
          <w:sz w:val="28"/>
          <w:szCs w:val="28"/>
        </w:rPr>
      </w:r>
      <w:r>
        <w:rPr>
          <w:rFonts w:ascii="Times New Roman CYR" w:hAnsi="Times New Roman CYR" w:cs="Times New Roman CYR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eastAsia="Times New Roman CYR" w:cs="Times New Roman CYR"/>
          <w:sz w:val="28"/>
          <w:szCs w:val="28"/>
        </w:rPr>
        <w:t xml:space="preserve">по проведению</w:t>
      </w:r>
      <w:r>
        <w:rPr>
          <w:rFonts w:ascii="Times New Roman CYR" w:hAnsi="Times New Roman CYR" w:eastAsia="Times New Roman CYR" w:cs="Times New Roman CYR"/>
          <w:sz w:val="28"/>
          <w:szCs w:val="28"/>
        </w:rPr>
        <w:t xml:space="preserve"> закупки на поставку</w:t>
      </w:r>
      <w:r>
        <w:rPr>
          <w:rFonts w:ascii="Times New Roman CYR" w:hAnsi="Times New Roman CYR" w:eastAsia="Times New Roman CYR" w:cs="Times New Roman CYR"/>
          <w:sz w:val="28"/>
          <w:szCs w:val="28"/>
        </w:rPr>
        <w:t xml:space="preserve"> информационных знаков для ПС и ВЛ</w:t>
      </w:r>
      <w:r>
        <w:rPr>
          <w:rFonts w:ascii="Times New Roman CYR" w:hAnsi="Times New Roman CYR" w:cs="Times New Roman CYR"/>
          <w:sz w:val="28"/>
          <w:szCs w:val="28"/>
        </w:rPr>
      </w:r>
      <w:r>
        <w:rPr>
          <w:rFonts w:ascii="Times New Roman CYR" w:hAnsi="Times New Roman CYR" w:cs="Times New Roman CYR"/>
          <w:sz w:val="28"/>
          <w:szCs w:val="28"/>
        </w:rPr>
      </w:r>
    </w:p>
    <w:p>
      <w:pPr>
        <w:ind w:left="828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1. Общие положения.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1.1 Заказчик: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АО «Россети Сибирь Тываэнерго»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bCs w:val="0"/>
          <w:i w:val="0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1.2 Предмет закупки: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 w:val="0"/>
          <w:i w:val="0"/>
          <w:sz w:val="26"/>
          <w:szCs w:val="26"/>
        </w:rPr>
      </w:r>
      <w:r>
        <w:rPr>
          <w:rFonts w:ascii="Times New Roman" w:hAnsi="Times New Roman" w:eastAsia="Times New Roman" w:cs="Times New Roman"/>
          <w:bCs w:val="0"/>
          <w:i w:val="0"/>
          <w:sz w:val="26"/>
          <w:szCs w:val="26"/>
        </w:rPr>
        <w:t xml:space="preserve">информационных знаков для ПС и ВЛ</w:t>
      </w:r>
      <w:r>
        <w:rPr>
          <w:rFonts w:ascii="Times New Roman" w:hAnsi="Times New Roman" w:eastAsia="Times New Roman" w:cs="Times New Roman"/>
          <w:bCs w:val="0"/>
          <w:i w:val="0"/>
          <w:sz w:val="26"/>
          <w:szCs w:val="26"/>
        </w:rPr>
      </w:r>
      <w:r>
        <w:rPr>
          <w:rFonts w:ascii="Times New Roman" w:hAnsi="Times New Roman" w:cs="Times New Roman"/>
          <w:bCs w:val="0"/>
          <w:i w:val="0"/>
          <w:sz w:val="26"/>
          <w:szCs w:val="26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2. Место, срок и условия поставки Продукции.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2.1 Место поставки: 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Центральный  склад  АО  «Россети  Сибирь  Тываэнерго» (Республика Тыва, г. Кызыл, ул. Колхозная,2б)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2.2 Поставка продукции осуществляется до места поставки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силами и средствами поставщика.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Упаковка, маркировка, временная антикорроз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ионная защита, условия транспортирования, в том числе требования к выбору вида транспортного средства,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условиях изготовителя изделия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и др. нормативно-технической документации. Порядок отгрузки, специальные требования к таре и упаковке должны быть определены в договоре на поставку оборудования.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2.3 Срок поставки: 30 календарных дней с момента заключения договора на поставку.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3.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Цена, п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еречень и объемы поставки Продукции.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3.1.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Цена,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ерече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нь и объемы поставки указаны в приложении 1.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3.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Все налоги, сборы, отчисления и другие платежи, включая таможенные платежи и сборы, расходы на транспортировку продукции до места поставки, стоимость тары и упак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овки, гарантийные обязательства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включены в стоимость заявки/предложения участника. </w:t>
      </w:r>
      <w:r>
        <w:rPr>
          <w:rFonts w:ascii="Times New Roman" w:hAnsi="Times New Roman" w:cs="Times New Roman"/>
          <w:i/>
          <w:sz w:val="26"/>
          <w:szCs w:val="26"/>
        </w:rPr>
      </w:r>
      <w:r>
        <w:rPr>
          <w:rFonts w:ascii="Times New Roman" w:hAnsi="Times New Roman" w:cs="Times New Roman"/>
          <w:i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4. Общие требования к поставляемой продукции.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4.1.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Поставляемая продукция должна быть изготовлена в год поставки или предшествующий ему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4.2.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Продукция должна быть ранее не использованной, и не подверженная ремонту или восстановлению.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3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Поставляемая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продукция должна соответствовать требованиям</w:t>
      </w:r>
      <w:r>
        <w:rPr>
          <w:rFonts w:ascii="Times New Roman" w:hAnsi="Times New Roman" w:eastAsia="Times New Roman"/>
          <w:sz w:val="26"/>
          <w:szCs w:val="26"/>
        </w:rPr>
        <w:t xml:space="preserve"> Положения ПАО «Россети» о единой технической политике в электросетевом комплексе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Продукция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,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внесенная в Единый перечень продукции, подлежащей обязательной сертификации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должна иметь сертификаты соответствия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ГОСТ Р.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i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5.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Продукция должна снабжаться идентифицирующей и информационной м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аркировк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ой, обеспечивающей потребителя полной информацией о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продукции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b w:val="0"/>
          <w:bCs w:val="0"/>
          <w:i w:val="0"/>
          <w:iCs w:val="0"/>
          <w:sz w:val="26"/>
          <w:szCs w:val="26"/>
        </w:rPr>
        <w:t xml:space="preserve">(наименование изготовителя, номер партии, дата изготовления, требования безопасности, срок годности, дата выпуска, состав и т.д.)</w:t>
      </w:r>
      <w:r>
        <w:rPr>
          <w:rFonts w:ascii="Times New Roman CYR" w:hAnsi="Times New Roman CYR" w:eastAsia="Times New Roman" w:cs="Times New Roman CYR"/>
          <w:b w:val="0"/>
          <w:bCs w:val="0"/>
          <w:i w:val="0"/>
          <w:iCs w:val="0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i/>
          <w:sz w:val="26"/>
          <w:szCs w:val="26"/>
        </w:rPr>
      </w:r>
      <w:r>
        <w:rPr>
          <w:rFonts w:ascii="Times New Roman CYR" w:hAnsi="Times New Roman CYR" w:eastAsia="Times New Roman" w:cs="Times New Roman CYR"/>
          <w:i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Маркировка должна располагаться на продукции или на ее упаковке,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состоять из общепринятых знаков и символов, описательная часть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выполняться на русском языке, иметь четкие обозначения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и сохраняться на весь срок службы поставляемой продукции.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4.8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Характеристики и требования к поставляемой продукции представлены в приложении 2 к настоящему техническому заданию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  <w:t xml:space="preserve">5.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 Гарантийные обязательства.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Срок гарантии на поставляемые материалы и оборудование должен быть не менее 36 месяцев. Время начала исчисления гарантийного срока – с момента ввода  продукции в эксплуатацию.</w:t>
      </w:r>
      <w:r>
        <w:rPr>
          <w:rFonts w:ascii="Times New Roman" w:hAnsi="Times New Roman" w:cs="Times New Roman"/>
          <w:sz w:val="28"/>
          <w:szCs w:val="26"/>
        </w:rPr>
      </w:r>
      <w:r>
        <w:rPr>
          <w:rFonts w:ascii="Times New Roman" w:hAnsi="Times New Roman" w:cs="Times New Roman"/>
          <w:sz w:val="28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  <w:r>
        <w:rPr>
          <w:rFonts w:ascii="Times New Roman" w:hAnsi="Times New Roman" w:cs="Times New Roman"/>
          <w:sz w:val="28"/>
          <w:szCs w:val="26"/>
        </w:rPr>
      </w:r>
      <w:r>
        <w:rPr>
          <w:rFonts w:ascii="Times New Roman" w:hAnsi="Times New Roman" w:cs="Times New Roman"/>
          <w:sz w:val="28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6. Правила приемки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продукции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42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Вся поставляемая Продукция проходит входной контроль, осуществляемый представителями АО «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Россети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Сибир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ь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Тываэнерго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»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при получении продукции на склад.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Приемка продукции по качеству производится в соответствии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законодательством Российской Федерации (ст.513 ГК РФ) и условиям настоящего Договора.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Приемка продукции по количеству производится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в соответствии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законодательством Российской Федерации (ст.513 ГК РФ) и условиям настоящего Договора.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 приемке продукции осуществляется: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– внешний осмотр тары и упаковки: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контроль соответствия качества и комплектности материалов требованиям проектной, конструкторской документации и договоров на поставку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9"/>
        <w:gridCol w:w="1248"/>
        <w:gridCol w:w="4141"/>
        <w:gridCol w:w="1672"/>
        <w:gridCol w:w="2465"/>
      </w:tblGrid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№ п/п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Дата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Должность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Подпись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ФИО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1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Заместитель главного инженера – начальник 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УПБиПК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 ПАО «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Россети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 Сибирь»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Е.А. 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Вельман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2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  <w:lang w:eastAsia="en-US"/>
              </w:rPr>
              <w:t xml:space="preserve">Заместитель главного инженера – начальник </w:t>
            </w:r>
            <w:r>
              <w:rPr>
                <w:rFonts w:ascii="Tinos" w:hAnsi="Tinos" w:eastAsia="Tinos" w:cs="Tinos"/>
                <w:sz w:val="26"/>
                <w:szCs w:val="26"/>
                <w:lang w:eastAsia="en-US"/>
              </w:rPr>
              <w:t xml:space="preserve">СПБиПК</w:t>
            </w:r>
            <w:r>
              <w:rPr>
                <w:rFonts w:ascii="Tinos" w:hAnsi="Tinos" w:eastAsia="Tinos" w:cs="Tinos"/>
                <w:sz w:val="26"/>
                <w:szCs w:val="26"/>
                <w:lang w:eastAsia="en-US"/>
              </w:rPr>
              <w:t xml:space="preserve"> АО «</w:t>
            </w:r>
            <w:r>
              <w:rPr>
                <w:rFonts w:ascii="Tinos" w:hAnsi="Tinos" w:eastAsia="Tinos" w:cs="Tinos"/>
                <w:sz w:val="26"/>
                <w:szCs w:val="26"/>
                <w:lang w:eastAsia="en-US"/>
              </w:rPr>
              <w:t xml:space="preserve">Россети</w:t>
            </w:r>
            <w:r>
              <w:rPr>
                <w:rFonts w:ascii="Tinos" w:hAnsi="Tinos" w:eastAsia="Tinos" w:cs="Tinos"/>
                <w:sz w:val="26"/>
                <w:szCs w:val="26"/>
                <w:lang w:eastAsia="en-US"/>
              </w:rPr>
              <w:t xml:space="preserve"> Сибирь </w:t>
            </w:r>
            <w:r>
              <w:rPr>
                <w:rFonts w:ascii="Tinos" w:hAnsi="Tinos" w:eastAsia="Tinos" w:cs="Tinos"/>
                <w:sz w:val="26"/>
                <w:szCs w:val="26"/>
                <w:lang w:eastAsia="en-US"/>
              </w:rPr>
              <w:t xml:space="preserve">Тываэнерго</w:t>
            </w:r>
            <w:r>
              <w:rPr>
                <w:rFonts w:ascii="Tinos" w:hAnsi="Tinos" w:eastAsia="Tinos" w:cs="Tinos"/>
                <w:sz w:val="26"/>
                <w:szCs w:val="26"/>
                <w:lang w:eastAsia="en-US"/>
              </w:rPr>
              <w:t xml:space="preserve">»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cs="Tinos"/>
                <w:sz w:val="26"/>
                <w:szCs w:val="26"/>
              </w:rPr>
              <w:t xml:space="preserve">В.В. Жмак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3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Начальник 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ОЛиМТО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 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АО «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Россети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 Сибирь 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Тываэнерго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»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cs="Tinos"/>
                <w:sz w:val="26"/>
                <w:szCs w:val="26"/>
              </w:rPr>
              <w:t xml:space="preserve">В.В. Власов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Эксперт от ИА 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ПАО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 «Россети Сибирь»</w:t>
            </w:r>
            <w:r>
              <w:t xml:space="preserve"> </w:t>
            </w:r>
            <w:r>
              <w:rPr>
                <w:rFonts w:ascii="Times New Roman CYR" w:hAnsi="Times New Roman CYR" w:eastAsia="Times New Roman" w:cs="Times New Roman CYR"/>
                <w:i/>
                <w:sz w:val="24"/>
                <w:szCs w:val="24"/>
              </w:rPr>
              <w:t xml:space="preserve">(в соответствии с требованиями СО 3.209/0)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</w:p>
        </w:tc>
      </w:tr>
    </w:tbl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lef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85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nos">
    <w:panose1 w:val="02000603000000000000"/>
  </w:font>
  <w:font w:name="Times New Roman CYR">
    <w:panose1 w:val="02020603050405020304"/>
  </w:font>
  <w:font w:name="Segoe UI">
    <w:panose1 w:val="020B0502040204020203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8"/>
    <w:next w:val="828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29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8"/>
    <w:next w:val="828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29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8"/>
    <w:next w:val="828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29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28"/>
    <w:next w:val="828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29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28"/>
    <w:next w:val="828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29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28"/>
    <w:next w:val="828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29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28"/>
    <w:next w:val="828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29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28"/>
    <w:next w:val="828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29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28"/>
    <w:next w:val="828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29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28"/>
    <w:uiPriority w:val="34"/>
    <w:qFormat/>
    <w:pPr>
      <w:contextualSpacing/>
      <w:ind w:left="720"/>
    </w:pPr>
  </w:style>
  <w:style w:type="paragraph" w:styleId="673">
    <w:name w:val="Title"/>
    <w:basedOn w:val="828"/>
    <w:next w:val="828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29"/>
    <w:link w:val="673"/>
    <w:uiPriority w:val="10"/>
    <w:rPr>
      <w:sz w:val="48"/>
      <w:szCs w:val="48"/>
    </w:rPr>
  </w:style>
  <w:style w:type="paragraph" w:styleId="675">
    <w:name w:val="Subtitle"/>
    <w:basedOn w:val="828"/>
    <w:next w:val="828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29"/>
    <w:link w:val="675"/>
    <w:uiPriority w:val="11"/>
    <w:rPr>
      <w:sz w:val="24"/>
      <w:szCs w:val="24"/>
    </w:rPr>
  </w:style>
  <w:style w:type="paragraph" w:styleId="677">
    <w:name w:val="Quote"/>
    <w:basedOn w:val="828"/>
    <w:next w:val="828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8"/>
    <w:next w:val="828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character" w:styleId="681">
    <w:name w:val="Header Char"/>
    <w:basedOn w:val="829"/>
    <w:link w:val="836"/>
    <w:uiPriority w:val="99"/>
  </w:style>
  <w:style w:type="character" w:styleId="682">
    <w:name w:val="Footer Char"/>
    <w:basedOn w:val="829"/>
    <w:link w:val="838"/>
    <w:uiPriority w:val="99"/>
  </w:style>
  <w:style w:type="paragraph" w:styleId="683">
    <w:name w:val="Caption"/>
    <w:basedOn w:val="828"/>
    <w:next w:val="82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683"/>
    <w:link w:val="838"/>
    <w:uiPriority w:val="99"/>
  </w:style>
  <w:style w:type="table" w:styleId="685">
    <w:name w:val="Table Grid Light"/>
    <w:basedOn w:val="8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4">
    <w:name w:val="List Table 7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5">
    <w:name w:val="List Table 7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6">
    <w:name w:val="List Table 7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7">
    <w:name w:val="List Table 7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88">
    <w:name w:val="List Table 7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89">
    <w:name w:val="Lined - Accent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1">
    <w:name w:val="Lined - Accent 2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2">
    <w:name w:val="Lined - Accent 3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3">
    <w:name w:val="Lined - Accent 4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4">
    <w:name w:val="Lined - Accent 5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5">
    <w:name w:val="Lined - Accent 6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6">
    <w:name w:val="Bordered &amp; Lined - Accent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8">
    <w:name w:val="Bordered &amp; Lined - Accent 2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9">
    <w:name w:val="Bordered &amp; Lined - Accent 3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0">
    <w:name w:val="Bordered &amp; Lined - Accent 4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1">
    <w:name w:val="Bordered &amp; Lined - Accent 5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2">
    <w:name w:val="Bordered &amp; Lined - Accent 6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3">
    <w:name w:val="Bordered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0">
    <w:name w:val="Hyperlink"/>
    <w:uiPriority w:val="99"/>
    <w:unhideWhenUsed/>
    <w:rPr>
      <w:color w:val="0000ff" w:themeColor="hyperlink"/>
      <w:u w:val="single"/>
    </w:rPr>
  </w:style>
  <w:style w:type="paragraph" w:styleId="811">
    <w:name w:val="footnote text"/>
    <w:basedOn w:val="828"/>
    <w:link w:val="812"/>
    <w:uiPriority w:val="99"/>
    <w:semiHidden/>
    <w:unhideWhenUsed/>
    <w:pPr>
      <w:spacing w:after="40" w:line="240" w:lineRule="auto"/>
    </w:pPr>
    <w:rPr>
      <w:sz w:val="18"/>
    </w:rPr>
  </w:style>
  <w:style w:type="character" w:styleId="812">
    <w:name w:val="Footnote Text Char"/>
    <w:link w:val="811"/>
    <w:uiPriority w:val="99"/>
    <w:rPr>
      <w:sz w:val="18"/>
    </w:rPr>
  </w:style>
  <w:style w:type="character" w:styleId="813">
    <w:name w:val="footnote reference"/>
    <w:basedOn w:val="829"/>
    <w:uiPriority w:val="99"/>
    <w:unhideWhenUsed/>
    <w:rPr>
      <w:vertAlign w:val="superscript"/>
    </w:rPr>
  </w:style>
  <w:style w:type="paragraph" w:styleId="814">
    <w:name w:val="endnote text"/>
    <w:basedOn w:val="828"/>
    <w:link w:val="815"/>
    <w:uiPriority w:val="99"/>
    <w:semiHidden/>
    <w:unhideWhenUsed/>
    <w:pPr>
      <w:spacing w:after="0" w:line="240" w:lineRule="auto"/>
    </w:pPr>
    <w:rPr>
      <w:sz w:val="20"/>
    </w:rPr>
  </w:style>
  <w:style w:type="character" w:styleId="815">
    <w:name w:val="Endnote Text Char"/>
    <w:link w:val="814"/>
    <w:uiPriority w:val="99"/>
    <w:rPr>
      <w:sz w:val="20"/>
    </w:rPr>
  </w:style>
  <w:style w:type="character" w:styleId="816">
    <w:name w:val="endnote reference"/>
    <w:basedOn w:val="829"/>
    <w:uiPriority w:val="99"/>
    <w:semiHidden/>
    <w:unhideWhenUsed/>
    <w:rPr>
      <w:vertAlign w:val="superscript"/>
    </w:rPr>
  </w:style>
  <w:style w:type="paragraph" w:styleId="817">
    <w:name w:val="toc 1"/>
    <w:basedOn w:val="828"/>
    <w:next w:val="828"/>
    <w:uiPriority w:val="39"/>
    <w:unhideWhenUsed/>
    <w:pPr>
      <w:ind w:left="0" w:right="0" w:firstLine="0"/>
      <w:spacing w:after="57"/>
    </w:pPr>
  </w:style>
  <w:style w:type="paragraph" w:styleId="818">
    <w:name w:val="toc 2"/>
    <w:basedOn w:val="828"/>
    <w:next w:val="828"/>
    <w:uiPriority w:val="39"/>
    <w:unhideWhenUsed/>
    <w:pPr>
      <w:ind w:left="283" w:right="0" w:firstLine="0"/>
      <w:spacing w:after="57"/>
    </w:pPr>
  </w:style>
  <w:style w:type="paragraph" w:styleId="819">
    <w:name w:val="toc 3"/>
    <w:basedOn w:val="828"/>
    <w:next w:val="828"/>
    <w:uiPriority w:val="39"/>
    <w:unhideWhenUsed/>
    <w:pPr>
      <w:ind w:left="567" w:right="0" w:firstLine="0"/>
      <w:spacing w:after="57"/>
    </w:pPr>
  </w:style>
  <w:style w:type="paragraph" w:styleId="820">
    <w:name w:val="toc 4"/>
    <w:basedOn w:val="828"/>
    <w:next w:val="828"/>
    <w:uiPriority w:val="39"/>
    <w:unhideWhenUsed/>
    <w:pPr>
      <w:ind w:left="850" w:right="0" w:firstLine="0"/>
      <w:spacing w:after="57"/>
    </w:pPr>
  </w:style>
  <w:style w:type="paragraph" w:styleId="821">
    <w:name w:val="toc 5"/>
    <w:basedOn w:val="828"/>
    <w:next w:val="828"/>
    <w:uiPriority w:val="39"/>
    <w:unhideWhenUsed/>
    <w:pPr>
      <w:ind w:left="1134" w:right="0" w:firstLine="0"/>
      <w:spacing w:after="57"/>
    </w:pPr>
  </w:style>
  <w:style w:type="paragraph" w:styleId="822">
    <w:name w:val="toc 6"/>
    <w:basedOn w:val="828"/>
    <w:next w:val="828"/>
    <w:uiPriority w:val="39"/>
    <w:unhideWhenUsed/>
    <w:pPr>
      <w:ind w:left="1417" w:right="0" w:firstLine="0"/>
      <w:spacing w:after="57"/>
    </w:pPr>
  </w:style>
  <w:style w:type="paragraph" w:styleId="823">
    <w:name w:val="toc 7"/>
    <w:basedOn w:val="828"/>
    <w:next w:val="828"/>
    <w:uiPriority w:val="39"/>
    <w:unhideWhenUsed/>
    <w:pPr>
      <w:ind w:left="1701" w:right="0" w:firstLine="0"/>
      <w:spacing w:after="57"/>
    </w:pPr>
  </w:style>
  <w:style w:type="paragraph" w:styleId="824">
    <w:name w:val="toc 8"/>
    <w:basedOn w:val="828"/>
    <w:next w:val="828"/>
    <w:uiPriority w:val="39"/>
    <w:unhideWhenUsed/>
    <w:pPr>
      <w:ind w:left="1984" w:right="0" w:firstLine="0"/>
      <w:spacing w:after="57"/>
    </w:pPr>
  </w:style>
  <w:style w:type="paragraph" w:styleId="825">
    <w:name w:val="toc 9"/>
    <w:basedOn w:val="828"/>
    <w:next w:val="828"/>
    <w:uiPriority w:val="39"/>
    <w:unhideWhenUsed/>
    <w:pPr>
      <w:ind w:left="2268" w:right="0" w:firstLine="0"/>
      <w:spacing w:after="57"/>
    </w:pPr>
  </w:style>
  <w:style w:type="paragraph" w:styleId="826">
    <w:name w:val="TOC Heading"/>
    <w:uiPriority w:val="39"/>
    <w:unhideWhenUsed/>
  </w:style>
  <w:style w:type="paragraph" w:styleId="827">
    <w:name w:val="table of figures"/>
    <w:basedOn w:val="828"/>
    <w:next w:val="828"/>
    <w:uiPriority w:val="99"/>
    <w:unhideWhenUsed/>
    <w:pPr>
      <w:spacing w:after="0" w:afterAutospacing="0"/>
    </w:pPr>
  </w:style>
  <w:style w:type="paragraph" w:styleId="828" w:default="1">
    <w:name w:val="Normal"/>
    <w:qFormat/>
  </w:style>
  <w:style w:type="character" w:styleId="829" w:default="1">
    <w:name w:val="Default Paragraph Font"/>
    <w:uiPriority w:val="1"/>
    <w:semiHidden/>
    <w:unhideWhenUsed/>
  </w:style>
  <w:style w:type="table" w:styleId="83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1" w:default="1">
    <w:name w:val="No List"/>
    <w:uiPriority w:val="99"/>
    <w:semiHidden/>
    <w:unhideWhenUsed/>
  </w:style>
  <w:style w:type="character" w:styleId="832" w:customStyle="1">
    <w:name w:val="msochangeprop"/>
    <w:basedOn w:val="829"/>
  </w:style>
  <w:style w:type="character" w:styleId="833" w:customStyle="1">
    <w:name w:val="msoins"/>
    <w:basedOn w:val="829"/>
  </w:style>
  <w:style w:type="character" w:styleId="834" w:customStyle="1">
    <w:name w:val="match1"/>
    <w:basedOn w:val="829"/>
    <w:rPr>
      <w:color w:val="000000"/>
      <w:shd w:val="clear" w:color="auto" w:fill="fff152"/>
    </w:rPr>
  </w:style>
  <w:style w:type="character" w:styleId="835" w:customStyle="1">
    <w:name w:val="msodel"/>
    <w:basedOn w:val="829"/>
  </w:style>
  <w:style w:type="paragraph" w:styleId="836">
    <w:name w:val="Header"/>
    <w:basedOn w:val="828"/>
    <w:link w:val="83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37" w:customStyle="1">
    <w:name w:val="Верхний колонтитул Знак"/>
    <w:basedOn w:val="829"/>
    <w:link w:val="836"/>
    <w:uiPriority w:val="99"/>
  </w:style>
  <w:style w:type="paragraph" w:styleId="838">
    <w:name w:val="Footer"/>
    <w:basedOn w:val="828"/>
    <w:link w:val="839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39" w:customStyle="1">
    <w:name w:val="Нижний колонтитул Знак"/>
    <w:basedOn w:val="829"/>
    <w:link w:val="838"/>
    <w:uiPriority w:val="99"/>
  </w:style>
  <w:style w:type="table" w:styleId="840">
    <w:name w:val="Table Grid"/>
    <w:basedOn w:val="830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41">
    <w:name w:val="No Spacing"/>
    <w:link w:val="842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character" w:styleId="842" w:customStyle="1">
    <w:name w:val="Без интервала Знак"/>
    <w:link w:val="841"/>
    <w:uiPriority w:val="1"/>
    <w:rPr>
      <w:rFonts w:ascii="Calibri" w:hAnsi="Calibri" w:eastAsia="Calibri" w:cs="Times New Roman"/>
    </w:rPr>
  </w:style>
  <w:style w:type="paragraph" w:styleId="843">
    <w:name w:val="Revision"/>
    <w:hidden/>
    <w:uiPriority w:val="99"/>
    <w:semiHidden/>
    <w:pPr>
      <w:spacing w:after="0" w:line="240" w:lineRule="auto"/>
    </w:pPr>
  </w:style>
  <w:style w:type="paragraph" w:styleId="844">
    <w:name w:val="Balloon Text"/>
    <w:basedOn w:val="828"/>
    <w:link w:val="84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5" w:customStyle="1">
    <w:name w:val="Текст выноски Знак"/>
    <w:basedOn w:val="829"/>
    <w:link w:val="84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revision>21</cp:revision>
  <dcterms:created xsi:type="dcterms:W3CDTF">2021-06-17T10:36:00Z</dcterms:created>
  <dcterms:modified xsi:type="dcterms:W3CDTF">2025-10-11T09:00:45Z</dcterms:modified>
</cp:coreProperties>
</file>